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right"/>
      </w:pPr>
      <w:r>
        <w:rPr>
          <w:rFonts w:ascii="Times New Roman" w:cs="Times New Roman" w:eastAsia="Times New Roman" w:hAnsi="Times New Roman"/>
          <w:b/>
          <w:bCs/>
          <w:color w:val="1F3864"/>
          <w:sz w:val="30"/>
          <w:szCs w:val="30"/>
        </w:rPr>
        <w:t xml:space="preserve">CoachCare</w:t>
      </w:r>
    </w:p>
    <w:p>
      <w:pPr>
        <w:pBdr>
          <w:bottom w:val="single" w:color="1F3864" w:sz="8" w:space="4"/>
        </w:pBdr>
        <w:spacing w:after="300"/>
        <w:jc w:val="right"/>
      </w:pPr>
      <w:r>
        <w:rPr>
          <w:rFonts w:ascii="Times New Roman" w:cs="Times New Roman" w:eastAsia="Times New Roman" w:hAnsi="Times New Roman"/>
          <w:color w:val="808080"/>
          <w:sz w:val="18"/>
          <w:szCs w:val="18"/>
        </w:rPr>
        <w:t xml:space="preserve">[CoachCare address · phone · email]</w:t>
      </w:r>
    </w:p>
    <w:p>
      <w:pPr>
        <w:pBdr>
          <w:left w:val="single" w:color="9C0006" w:sz="18" w:space="6"/>
        </w:pBdr>
        <w:shd w:fill="FFC7CE" w:val="clear"/>
        <w:spacing w:after="160"/>
        <w:ind w:left="140" w:right="140"/>
      </w:pPr>
      <w:r>
        <w:rPr>
          <w:rFonts w:ascii="Times New Roman" w:cs="Times New Roman" w:eastAsia="Times New Roman" w:hAnsi="Times New Roman"/>
          <w:b/>
          <w:bCs/>
          <w:color w:val="9C0006"/>
          <w:sz w:val="19"/>
          <w:szCs w:val="19"/>
        </w:rPr>
        <w:t xml:space="preserve">DRAFT FOR REVIEW — not executed. Confirm every commitment below with CoachCare legal and operations before signature. HRSA requires letters of agreement to be signed and dated.</w:t>
      </w:r>
    </w:p>
    <w:p>
      <w:pPr>
        <w:spacing w:after="220" w:line="264"/>
      </w:pPr>
      <w:r>
        <w:rPr>
          <w:rFonts w:ascii="Times New Roman" w:cs="Times New Roman" w:eastAsia="Times New Roman" w:hAnsi="Times New Roman"/>
          <w:sz w:val="21"/>
          <w:szCs w:val="21"/>
        </w:rPr>
        <w:t xml:space="preserve">[DATE]</w:t>
      </w:r>
    </w:p>
    <w:p>
      <w:pPr>
        <w:spacing w:after="140" w:line="264"/>
      </w:pPr>
      <w:r>
        <w:rPr>
          <w:rFonts w:ascii="Times New Roman" w:cs="Times New Roman" w:eastAsia="Times New Roman" w:hAnsi="Times New Roman"/>
          <w:sz w:val="21"/>
          <w:szCs w:val="21"/>
        </w:rPr>
        <w:t xml:space="preserve">North Caddo Medical Center</w:t>
      </w:r>
    </w:p>
    <w:p>
      <w:pPr>
        <w:spacing w:after="140" w:line="264"/>
      </w:pPr>
      <w:r>
        <w:rPr>
          <w:rFonts w:ascii="Times New Roman" w:cs="Times New Roman" w:eastAsia="Times New Roman" w:hAnsi="Times New Roman"/>
          <w:sz w:val="21"/>
          <w:szCs w:val="21"/>
        </w:rPr>
        <w:t xml:space="preserve">815 South Pine Street</w:t>
      </w:r>
    </w:p>
    <w:p>
      <w:pPr>
        <w:spacing w:after="220" w:line="264"/>
      </w:pPr>
      <w:r>
        <w:rPr>
          <w:rFonts w:ascii="Times New Roman" w:cs="Times New Roman" w:eastAsia="Times New Roman" w:hAnsi="Times New Roman"/>
          <w:sz w:val="21"/>
          <w:szCs w:val="21"/>
        </w:rPr>
        <w:t xml:space="preserve">Vivian, Louisiana 71082</w:t>
      </w:r>
    </w:p>
    <w:p>
      <w:pPr>
        <w:spacing w:after="220" w:line="264"/>
      </w:pPr>
      <w:r>
        <w:rPr>
          <w:rFonts w:ascii="Times New Roman" w:cs="Times New Roman" w:eastAsia="Times New Roman" w:hAnsi="Times New Roman"/>
          <w:b/>
          <w:bCs/>
          <w:sz w:val="21"/>
          <w:szCs w:val="21"/>
        </w:rPr>
        <w:t xml:space="preserve">Re: Letter of Agreement — HRSA-26-046, Small Health Care Provider Quality Improvement Program</w:t>
      </w:r>
    </w:p>
    <w:p>
      <w:pPr>
        <w:spacing w:after="140" w:line="264"/>
      </w:pPr>
      <w:r>
        <w:rPr>
          <w:rFonts w:ascii="Times New Roman" w:cs="Times New Roman" w:eastAsia="Times New Roman" w:hAnsi="Times New Roman"/>
          <w:sz w:val="21"/>
          <w:szCs w:val="21"/>
        </w:rPr>
        <w:t xml:space="preserve">To the Board and Leadership of North Caddo Medical Center:</w:t>
      </w:r>
    </w:p>
    <w:p>
      <w:pPr>
        <w:spacing w:after="140" w:line="264"/>
      </w:pPr>
      <w:r>
        <w:rPr>
          <w:rFonts w:ascii="Times New Roman" w:cs="Times New Roman" w:eastAsia="Times New Roman" w:hAnsi="Times New Roman"/>
          <w:sz w:val="21"/>
          <w:szCs w:val="21"/>
        </w:rPr>
        <w:t xml:space="preserve">CoachCare is pleased to confirm its commitment to serve as the remote care management contractor for North Caddo Medical Center's proposed project under HRSA-26-046, should the application be funded. This letter describes our role, our specific deliverables, and the resources CoachCare will contribute at its own expense.</w:t>
      </w:r>
    </w:p>
    <w:p>
      <w:pPr>
        <w:spacing w:after="140" w:line="264"/>
      </w:pPr>
      <w:r>
        <w:rPr>
          <w:rFonts w:ascii="Times New Roman" w:cs="Times New Roman" w:eastAsia="Times New Roman" w:hAnsi="Times New Roman"/>
          <w:sz w:val="21"/>
          <w:szCs w:val="21"/>
        </w:rPr>
        <w:t xml:space="preserve">CoachCare is a contractor to NCMC, not a subrecipient and not the applicant. NCMC retains full programmatic and financial responsibility for the award, clinical authority over its patients, and ownership of all patient data. CoachCare performs services under NCMC-approved clinical protocols and a Business Associate Agreement.</w:t>
      </w:r>
    </w:p>
    <w:p>
      <w:pPr>
        <w:spacing w:after="120" w:before="240"/>
      </w:pPr>
      <w:r>
        <w:rPr>
          <w:rFonts w:ascii="Times New Roman" w:cs="Times New Roman" w:eastAsia="Times New Roman" w:hAnsi="Times New Roman"/>
          <w:b/>
          <w:bCs/>
          <w:color w:val="1F3864"/>
          <w:sz w:val="23"/>
          <w:szCs w:val="23"/>
        </w:rPr>
        <w:t xml:space="preserve">Scope and deliverables</w:t>
      </w:r>
    </w:p>
    <w:tbl>
      <w:tblPr>
        <w:tblW w:type="dxa" w:w="94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5100"/>
        <w:gridCol w:w="2000"/>
      </w:tblGrid>
      <w:tr>
        <w:trPr>
          <w:tblHeader/>
        </w:trPr>
        <w:tc>
          <w:tcPr>
            <w:tcW w:type="dxa" w:w="2300"/>
            <w:shd w:fill="1F3864" w:val="clear"/>
            <w:tcMar>
              <w:top w:type="dxa" w:w="70"/>
              <w:left w:type="dxa" w:w="90"/>
              <w:bottom w:type="dxa" w:w="70"/>
              <w:right w:type="dxa" w:w="90"/>
            </w:tcMar>
          </w:tcPr>
          <w:p>
            <w:pPr>
              <w:spacing w:after="0" w:line="240"/>
            </w:pPr>
            <w:r>
              <w:rPr>
                <w:rFonts w:ascii="Times New Roman" w:cs="Times New Roman" w:eastAsia="Times New Roman" w:hAnsi="Times New Roman"/>
                <w:b/>
                <w:bCs/>
                <w:color w:val="FFFFFF"/>
                <w:sz w:val="18"/>
                <w:szCs w:val="18"/>
              </w:rPr>
              <w:t xml:space="preserve">Deliverable</w:t>
            </w:r>
          </w:p>
        </w:tc>
        <w:tc>
          <w:tcPr>
            <w:tcW w:type="dxa" w:w="5100"/>
            <w:shd w:fill="1F3864" w:val="clear"/>
            <w:tcMar>
              <w:top w:type="dxa" w:w="70"/>
              <w:left w:type="dxa" w:w="90"/>
              <w:bottom w:type="dxa" w:w="70"/>
              <w:right w:type="dxa" w:w="90"/>
            </w:tcMar>
          </w:tcPr>
          <w:p>
            <w:pPr>
              <w:spacing w:after="0" w:line="240"/>
            </w:pPr>
            <w:r>
              <w:rPr>
                <w:rFonts w:ascii="Times New Roman" w:cs="Times New Roman" w:eastAsia="Times New Roman" w:hAnsi="Times New Roman"/>
                <w:b/>
                <w:bCs/>
                <w:color w:val="FFFFFF"/>
                <w:sz w:val="18"/>
                <w:szCs w:val="18"/>
              </w:rPr>
              <w:t xml:space="preserve">Description</w:t>
            </w:r>
          </w:p>
        </w:tc>
        <w:tc>
          <w:tcPr>
            <w:tcW w:type="dxa" w:w="2000"/>
            <w:shd w:fill="1F3864" w:val="clear"/>
            <w:tcMar>
              <w:top w:type="dxa" w:w="70"/>
              <w:left w:type="dxa" w:w="90"/>
              <w:bottom w:type="dxa" w:w="70"/>
              <w:right w:type="dxa" w:w="90"/>
            </w:tcMar>
          </w:tcPr>
          <w:p>
            <w:pPr>
              <w:spacing w:after="0" w:line="240"/>
            </w:pPr>
            <w:r>
              <w:rPr>
                <w:rFonts w:ascii="Times New Roman" w:cs="Times New Roman" w:eastAsia="Times New Roman" w:hAnsi="Times New Roman"/>
                <w:b/>
                <w:bCs/>
                <w:color w:val="FFFFFF"/>
                <w:sz w:val="18"/>
                <w:szCs w:val="18"/>
              </w:rPr>
              <w:t xml:space="preserve">Timing</w:t>
            </w:r>
          </w:p>
        </w:tc>
      </w:tr>
      <w:tr>
        <w:tc>
          <w:tcPr>
            <w:tcW w:type="dxa" w:w="2300"/>
            <w:tcMar>
              <w:top w:type="dxa" w:w="70"/>
              <w:left w:type="dxa" w:w="90"/>
              <w:bottom w:type="dxa" w:w="70"/>
              <w:right w:type="dxa" w:w="90"/>
            </w:tcMar>
          </w:tcPr>
          <w:p>
            <w:pPr>
              <w:spacing w:after="0" w:line="240"/>
            </w:pPr>
            <w:r>
              <w:rPr>
                <w:rFonts w:ascii="Times New Roman" w:cs="Times New Roman" w:eastAsia="Times New Roman" w:hAnsi="Times New Roman"/>
                <w:sz w:val="18"/>
                <w:szCs w:val="18"/>
              </w:rPr>
              <w:t xml:space="preserve">Veradigm EHR integration</w:t>
            </w:r>
          </w:p>
        </w:tc>
        <w:tc>
          <w:tcPr>
            <w:tcW w:type="dxa" w:w="5100"/>
            <w:tcMar>
              <w:top w:type="dxa" w:w="70"/>
              <w:left w:type="dxa" w:w="90"/>
              <w:bottom w:type="dxa" w:w="70"/>
              <w:right w:type="dxa" w:w="90"/>
            </w:tcMar>
          </w:tcPr>
          <w:p>
            <w:pPr>
              <w:spacing w:after="0" w:line="240"/>
            </w:pPr>
            <w:r>
              <w:rPr>
                <w:rFonts w:ascii="Times New Roman" w:cs="Times New Roman" w:eastAsia="Times New Roman" w:hAnsi="Times New Roman"/>
                <w:sz w:val="18"/>
                <w:szCs w:val="18"/>
              </w:rPr>
              <w:t xml:space="preserve">Bidirectional integration: eligibility flagging inside the clinical workflow, recurring evidence-of-care documents written to the patient chart, and automated care management claim creation in the practice management system.</w:t>
            </w:r>
          </w:p>
        </w:tc>
        <w:tc>
          <w:tcPr>
            <w:tcW w:type="dxa" w:w="2000"/>
            <w:tcMar>
              <w:top w:type="dxa" w:w="70"/>
              <w:left w:type="dxa" w:w="90"/>
              <w:bottom w:type="dxa" w:w="70"/>
              <w:right w:type="dxa" w:w="90"/>
            </w:tcMar>
          </w:tcPr>
          <w:p>
            <w:pPr>
              <w:spacing w:after="0" w:line="240"/>
            </w:pPr>
            <w:r>
              <w:rPr>
                <w:rFonts w:ascii="Times New Roman" w:cs="Times New Roman" w:eastAsia="Times New Roman" w:hAnsi="Times New Roman"/>
                <w:sz w:val="18"/>
                <w:szCs w:val="18"/>
              </w:rPr>
              <w:t xml:space="preserve">Live within the first two quarters of the period of performance</w:t>
            </w:r>
          </w:p>
        </w:tc>
      </w:tr>
      <w:tr>
        <w:tc>
          <w:tcPr>
            <w:tcW w:type="dxa" w:w="2300"/>
            <w:shd w:fill="F2F5FB" w:val="clear"/>
            <w:tcMar>
              <w:top w:type="dxa" w:w="70"/>
              <w:left w:type="dxa" w:w="90"/>
              <w:bottom w:type="dxa" w:w="70"/>
              <w:right w:type="dxa" w:w="90"/>
            </w:tcMar>
          </w:tcPr>
          <w:p>
            <w:pPr>
              <w:spacing w:after="0" w:line="240"/>
            </w:pPr>
            <w:r>
              <w:rPr>
                <w:rFonts w:ascii="Times New Roman" w:cs="Times New Roman" w:eastAsia="Times New Roman" w:hAnsi="Times New Roman"/>
                <w:sz w:val="18"/>
                <w:szCs w:val="18"/>
              </w:rPr>
              <w:t xml:space="preserve">Population identification and risk stratification</w:t>
            </w:r>
          </w:p>
        </w:tc>
        <w:tc>
          <w:tcPr>
            <w:tcW w:type="dxa" w:w="5100"/>
            <w:shd w:fill="F2F5FB" w:val="clear"/>
            <w:tcMar>
              <w:top w:type="dxa" w:w="70"/>
              <w:left w:type="dxa" w:w="90"/>
              <w:bottom w:type="dxa" w:w="70"/>
              <w:right w:type="dxa" w:w="90"/>
            </w:tcMar>
          </w:tcPr>
          <w:p>
            <w:pPr>
              <w:spacing w:after="0" w:line="240"/>
            </w:pPr>
            <w:r>
              <w:rPr>
                <w:rFonts w:ascii="Times New Roman" w:cs="Times New Roman" w:eastAsia="Times New Roman" w:hAnsi="Times New Roman"/>
                <w:sz w:val="18"/>
                <w:szCs w:val="18"/>
              </w:rPr>
              <w:t xml:space="preserve">Analysis of NCMC-supplied population files to identify patients eligible for each program and rank them by clinical risk, refreshed on a recurring basis.</w:t>
            </w:r>
          </w:p>
        </w:tc>
        <w:tc>
          <w:tcPr>
            <w:tcW w:type="dxa" w:w="2000"/>
            <w:shd w:fill="F2F5FB" w:val="clear"/>
            <w:tcMar>
              <w:top w:type="dxa" w:w="70"/>
              <w:left w:type="dxa" w:w="90"/>
              <w:bottom w:type="dxa" w:w="70"/>
              <w:right w:type="dxa" w:w="90"/>
            </w:tcMar>
          </w:tcPr>
          <w:p>
            <w:pPr>
              <w:spacing w:after="0" w:line="240"/>
            </w:pPr>
            <w:r>
              <w:rPr>
                <w:rFonts w:ascii="Times New Roman" w:cs="Times New Roman" w:eastAsia="Times New Roman" w:hAnsi="Times New Roman"/>
                <w:sz w:val="18"/>
                <w:szCs w:val="18"/>
              </w:rPr>
              <w:t xml:space="preserve">Initial build at launch; recurring thereafter</w:t>
            </w:r>
          </w:p>
        </w:tc>
      </w:tr>
      <w:tr>
        <w:tc>
          <w:tcPr>
            <w:tcW w:type="dxa" w:w="2300"/>
            <w:tcMar>
              <w:top w:type="dxa" w:w="70"/>
              <w:left w:type="dxa" w:w="90"/>
              <w:bottom w:type="dxa" w:w="70"/>
              <w:right w:type="dxa" w:w="90"/>
            </w:tcMar>
          </w:tcPr>
          <w:p>
            <w:pPr>
              <w:spacing w:after="0" w:line="240"/>
            </w:pPr>
            <w:r>
              <w:rPr>
                <w:rFonts w:ascii="Times New Roman" w:cs="Times New Roman" w:eastAsia="Times New Roman" w:hAnsi="Times New Roman"/>
                <w:sz w:val="18"/>
                <w:szCs w:val="18"/>
              </w:rPr>
              <w:t xml:space="preserve">Connected devices and logistics</w:t>
            </w:r>
          </w:p>
        </w:tc>
        <w:tc>
          <w:tcPr>
            <w:tcW w:type="dxa" w:w="5100"/>
            <w:tcMar>
              <w:top w:type="dxa" w:w="70"/>
              <w:left w:type="dxa" w:w="90"/>
              <w:bottom w:type="dxa" w:w="70"/>
              <w:right w:type="dxa" w:w="90"/>
            </w:tcMar>
          </w:tcPr>
          <w:p>
            <w:pPr>
              <w:spacing w:after="0" w:line="240"/>
            </w:pPr>
            <w:r>
              <w:rPr>
                <w:rFonts w:ascii="Times New Roman" w:cs="Times New Roman" w:eastAsia="Times New Roman" w:hAnsi="Times New Roman"/>
                <w:sz w:val="18"/>
                <w:szCs w:val="18"/>
              </w:rPr>
              <w:t xml:space="preserve">Cellular-connected monitoring devices, fulfillment, patient setup, replacement and end-of-life handling. Patients receive devices ready to use; NCMC staff do not handle device logistics.</w:t>
            </w:r>
          </w:p>
        </w:tc>
        <w:tc>
          <w:tcPr>
            <w:tcW w:type="dxa" w:w="2000"/>
            <w:tcMar>
              <w:top w:type="dxa" w:w="70"/>
              <w:left w:type="dxa" w:w="90"/>
              <w:bottom w:type="dxa" w:w="70"/>
              <w:right w:type="dxa" w:w="90"/>
            </w:tcMar>
          </w:tcPr>
          <w:p>
            <w:pPr>
              <w:spacing w:after="0" w:line="240"/>
            </w:pPr>
            <w:r>
              <w:rPr>
                <w:rFonts w:ascii="Times New Roman" w:cs="Times New Roman" w:eastAsia="Times New Roman" w:hAnsi="Times New Roman"/>
                <w:sz w:val="18"/>
                <w:szCs w:val="18"/>
              </w:rPr>
              <w:t xml:space="preserve">Continuous</w:t>
            </w:r>
          </w:p>
        </w:tc>
      </w:tr>
      <w:tr>
        <w:tc>
          <w:tcPr>
            <w:tcW w:type="dxa" w:w="2300"/>
            <w:shd w:fill="F2F5FB" w:val="clear"/>
            <w:tcMar>
              <w:top w:type="dxa" w:w="70"/>
              <w:left w:type="dxa" w:w="90"/>
              <w:bottom w:type="dxa" w:w="70"/>
              <w:right w:type="dxa" w:w="90"/>
            </w:tcMar>
          </w:tcPr>
          <w:p>
            <w:pPr>
              <w:spacing w:after="0" w:line="240"/>
            </w:pPr>
            <w:r>
              <w:rPr>
                <w:rFonts w:ascii="Times New Roman" w:cs="Times New Roman" w:eastAsia="Times New Roman" w:hAnsi="Times New Roman"/>
                <w:sz w:val="18"/>
                <w:szCs w:val="18"/>
              </w:rPr>
              <w:t xml:space="preserve">Clinical care team</w:t>
            </w:r>
          </w:p>
        </w:tc>
        <w:tc>
          <w:tcPr>
            <w:tcW w:type="dxa" w:w="5100"/>
            <w:shd w:fill="F2F5FB" w:val="clear"/>
            <w:tcMar>
              <w:top w:type="dxa" w:w="70"/>
              <w:left w:type="dxa" w:w="90"/>
              <w:bottom w:type="dxa" w:w="70"/>
              <w:right w:type="dxa" w:w="90"/>
            </w:tcMar>
          </w:tcPr>
          <w:p>
            <w:pPr>
              <w:spacing w:after="0" w:line="240"/>
            </w:pPr>
            <w:r>
              <w:rPr>
                <w:rFonts w:ascii="Times New Roman" w:cs="Times New Roman" w:eastAsia="Times New Roman" w:hAnsi="Times New Roman"/>
                <w:sz w:val="18"/>
                <w:szCs w:val="18"/>
              </w:rPr>
              <w:t xml:space="preserve">Registered nurses, licensed practical and vocational nurses, and certified medical assistants delivering monitoring, triage, care planning, medication reconciliation, and patient engagement as an extension of NCMC's practices, escalating to NCMC clinicians where matters fall outside nursing scope.</w:t>
            </w:r>
          </w:p>
        </w:tc>
        <w:tc>
          <w:tcPr>
            <w:tcW w:type="dxa" w:w="2000"/>
            <w:shd w:fill="F2F5FB" w:val="clear"/>
            <w:tcMar>
              <w:top w:type="dxa" w:w="70"/>
              <w:left w:type="dxa" w:w="90"/>
              <w:bottom w:type="dxa" w:w="70"/>
              <w:right w:type="dxa" w:w="90"/>
            </w:tcMar>
          </w:tcPr>
          <w:p>
            <w:pPr>
              <w:spacing w:after="0" w:line="240"/>
            </w:pPr>
            <w:r>
              <w:rPr>
                <w:rFonts w:ascii="Times New Roman" w:cs="Times New Roman" w:eastAsia="Times New Roman" w:hAnsi="Times New Roman"/>
                <w:sz w:val="18"/>
                <w:szCs w:val="18"/>
              </w:rPr>
              <w:t xml:space="preserve">Continuous</w:t>
            </w:r>
          </w:p>
        </w:tc>
      </w:tr>
      <w:tr>
        <w:tc>
          <w:tcPr>
            <w:tcW w:type="dxa" w:w="2300"/>
            <w:tcMar>
              <w:top w:type="dxa" w:w="70"/>
              <w:left w:type="dxa" w:w="90"/>
              <w:bottom w:type="dxa" w:w="70"/>
              <w:right w:type="dxa" w:w="90"/>
            </w:tcMar>
          </w:tcPr>
          <w:p>
            <w:pPr>
              <w:spacing w:after="0" w:line="240"/>
            </w:pPr>
            <w:r>
              <w:rPr>
                <w:rFonts w:ascii="Times New Roman" w:cs="Times New Roman" w:eastAsia="Times New Roman" w:hAnsi="Times New Roman"/>
                <w:sz w:val="18"/>
                <w:szCs w:val="18"/>
              </w:rPr>
              <w:t xml:space="preserve">Escalation governance</w:t>
            </w:r>
          </w:p>
        </w:tc>
        <w:tc>
          <w:tcPr>
            <w:tcW w:type="dxa" w:w="5100"/>
            <w:tcMar>
              <w:top w:type="dxa" w:w="70"/>
              <w:left w:type="dxa" w:w="90"/>
              <w:bottom w:type="dxa" w:w="70"/>
              <w:right w:type="dxa" w:w="90"/>
            </w:tcMar>
          </w:tcPr>
          <w:p>
            <w:pPr>
              <w:spacing w:after="0" w:line="240"/>
            </w:pPr>
            <w:r>
              <w:rPr>
                <w:rFonts w:ascii="Times New Roman" w:cs="Times New Roman" w:eastAsia="Times New Roman" w:hAnsi="Times New Roman"/>
                <w:sz w:val="18"/>
                <w:szCs w:val="18"/>
              </w:rPr>
              <w:t xml:space="preserve">Escalation pathways, thresholds and after-hours protocols configured to NCMC's workflow and submitted for NCMC clinical leadership review and sign-off.</w:t>
            </w:r>
          </w:p>
        </w:tc>
        <w:tc>
          <w:tcPr>
            <w:tcW w:type="dxa" w:w="2000"/>
            <w:tcMar>
              <w:top w:type="dxa" w:w="70"/>
              <w:left w:type="dxa" w:w="90"/>
              <w:bottom w:type="dxa" w:w="70"/>
              <w:right w:type="dxa" w:w="90"/>
            </w:tcMar>
          </w:tcPr>
          <w:p>
            <w:pPr>
              <w:spacing w:after="0" w:line="240"/>
            </w:pPr>
            <w:r>
              <w:rPr>
                <w:rFonts w:ascii="Times New Roman" w:cs="Times New Roman" w:eastAsia="Times New Roman" w:hAnsi="Times New Roman"/>
                <w:sz w:val="18"/>
                <w:szCs w:val="18"/>
              </w:rPr>
              <w:t xml:space="preserve">Configured during implementation; reviewed annually</w:t>
            </w:r>
          </w:p>
        </w:tc>
      </w:tr>
      <w:tr>
        <w:tc>
          <w:tcPr>
            <w:tcW w:type="dxa" w:w="2300"/>
            <w:shd w:fill="F2F5FB" w:val="clear"/>
            <w:tcMar>
              <w:top w:type="dxa" w:w="70"/>
              <w:left w:type="dxa" w:w="90"/>
              <w:bottom w:type="dxa" w:w="70"/>
              <w:right w:type="dxa" w:w="90"/>
            </w:tcMar>
          </w:tcPr>
          <w:p>
            <w:pPr>
              <w:spacing w:after="0" w:line="240"/>
            </w:pPr>
            <w:r>
              <w:rPr>
                <w:rFonts w:ascii="Times New Roman" w:cs="Times New Roman" w:eastAsia="Times New Roman" w:hAnsi="Times New Roman"/>
                <w:sz w:val="18"/>
                <w:szCs w:val="18"/>
              </w:rPr>
              <w:t xml:space="preserve">Monthly performance reporting</w:t>
            </w:r>
          </w:p>
        </w:tc>
        <w:tc>
          <w:tcPr>
            <w:tcW w:type="dxa" w:w="5100"/>
            <w:shd w:fill="F2F5FB" w:val="clear"/>
            <w:tcMar>
              <w:top w:type="dxa" w:w="70"/>
              <w:left w:type="dxa" w:w="90"/>
              <w:bottom w:type="dxa" w:w="70"/>
              <w:right w:type="dxa" w:w="90"/>
            </w:tcMar>
          </w:tcPr>
          <w:p>
            <w:pPr>
              <w:spacing w:after="0" w:line="240"/>
            </w:pPr>
            <w:r>
              <w:rPr>
                <w:rFonts w:ascii="Times New Roman" w:cs="Times New Roman" w:eastAsia="Times New Roman" w:hAnsi="Times New Roman"/>
                <w:sz w:val="18"/>
                <w:szCs w:val="18"/>
              </w:rPr>
              <w:t xml:space="preserve">Monthly reporting covering enrollment, billable share, deactivations and reasons, panels by provider, escalation volume and disposition, and physiologic and patient-reported data capture — the operating basis for the project's monthly quality dashboard.</w:t>
            </w:r>
          </w:p>
        </w:tc>
        <w:tc>
          <w:tcPr>
            <w:tcW w:type="dxa" w:w="2000"/>
            <w:shd w:fill="F2F5FB" w:val="clear"/>
            <w:tcMar>
              <w:top w:type="dxa" w:w="70"/>
              <w:left w:type="dxa" w:w="90"/>
              <w:bottom w:type="dxa" w:w="70"/>
              <w:right w:type="dxa" w:w="90"/>
            </w:tcMar>
          </w:tcPr>
          <w:p>
            <w:pPr>
              <w:spacing w:after="0" w:line="240"/>
            </w:pPr>
            <w:r>
              <w:rPr>
                <w:rFonts w:ascii="Times New Roman" w:cs="Times New Roman" w:eastAsia="Times New Roman" w:hAnsi="Times New Roman"/>
                <w:sz w:val="18"/>
                <w:szCs w:val="18"/>
              </w:rPr>
              <w:t xml:space="preserve">Monthly, from first month of service</w:t>
            </w:r>
          </w:p>
        </w:tc>
      </w:tr>
      <w:tr>
        <w:tc>
          <w:tcPr>
            <w:tcW w:type="dxa" w:w="2300"/>
            <w:tcMar>
              <w:top w:type="dxa" w:w="70"/>
              <w:left w:type="dxa" w:w="90"/>
              <w:bottom w:type="dxa" w:w="70"/>
              <w:right w:type="dxa" w:w="90"/>
            </w:tcMar>
          </w:tcPr>
          <w:p>
            <w:pPr>
              <w:spacing w:after="0" w:line="240"/>
            </w:pPr>
            <w:r>
              <w:rPr>
                <w:rFonts w:ascii="Times New Roman" w:cs="Times New Roman" w:eastAsia="Times New Roman" w:hAnsi="Times New Roman"/>
                <w:sz w:val="18"/>
                <w:szCs w:val="18"/>
              </w:rPr>
              <w:t xml:space="preserve">Quality measure reporting</w:t>
            </w:r>
          </w:p>
        </w:tc>
        <w:tc>
          <w:tcPr>
            <w:tcW w:type="dxa" w:w="5100"/>
            <w:tcMar>
              <w:top w:type="dxa" w:w="70"/>
              <w:left w:type="dxa" w:w="90"/>
              <w:bottom w:type="dxa" w:w="70"/>
              <w:right w:type="dxa" w:w="90"/>
            </w:tcMar>
          </w:tcPr>
          <w:p>
            <w:pPr>
              <w:spacing w:after="0" w:line="240"/>
            </w:pPr>
            <w:r>
              <w:rPr>
                <w:rFonts w:ascii="Times New Roman" w:cs="Times New Roman" w:eastAsia="Times New Roman" w:hAnsi="Times New Roman"/>
                <w:sz w:val="18"/>
                <w:szCs w:val="18"/>
              </w:rPr>
              <w:t xml:space="preserve">Population-level reporting on blood pressure control, A1c control, medication reconciliations completed, and care plan completion, in the specifications NCMC adopts for the project measure set.</w:t>
            </w:r>
          </w:p>
        </w:tc>
        <w:tc>
          <w:tcPr>
            <w:tcW w:type="dxa" w:w="2000"/>
            <w:tcMar>
              <w:top w:type="dxa" w:w="70"/>
              <w:left w:type="dxa" w:w="90"/>
              <w:bottom w:type="dxa" w:w="70"/>
              <w:right w:type="dxa" w:w="90"/>
            </w:tcMar>
          </w:tcPr>
          <w:p>
            <w:pPr>
              <w:spacing w:after="0" w:line="240"/>
            </w:pPr>
            <w:r>
              <w:rPr>
                <w:rFonts w:ascii="Times New Roman" w:cs="Times New Roman" w:eastAsia="Times New Roman" w:hAnsi="Times New Roman"/>
                <w:sz w:val="18"/>
                <w:szCs w:val="18"/>
              </w:rPr>
              <w:t xml:space="preserve">Monthly, from the first full quarter of service</w:t>
            </w:r>
          </w:p>
        </w:tc>
      </w:tr>
      <w:tr>
        <w:tc>
          <w:tcPr>
            <w:tcW w:type="dxa" w:w="2300"/>
            <w:shd w:fill="F2F5FB" w:val="clear"/>
            <w:tcMar>
              <w:top w:type="dxa" w:w="70"/>
              <w:left w:type="dxa" w:w="90"/>
              <w:bottom w:type="dxa" w:w="70"/>
              <w:right w:type="dxa" w:w="90"/>
            </w:tcMar>
          </w:tcPr>
          <w:p>
            <w:pPr>
              <w:spacing w:after="0" w:line="240"/>
            </w:pPr>
            <w:r>
              <w:rPr>
                <w:rFonts w:ascii="Times New Roman" w:cs="Times New Roman" w:eastAsia="Times New Roman" w:hAnsi="Times New Roman"/>
                <w:sz w:val="18"/>
                <w:szCs w:val="18"/>
              </w:rPr>
              <w:t xml:space="preserve">Implementation and staff training</w:t>
            </w:r>
          </w:p>
        </w:tc>
        <w:tc>
          <w:tcPr>
            <w:tcW w:type="dxa" w:w="5100"/>
            <w:shd w:fill="F2F5FB" w:val="clear"/>
            <w:tcMar>
              <w:top w:type="dxa" w:w="70"/>
              <w:left w:type="dxa" w:w="90"/>
              <w:bottom w:type="dxa" w:w="70"/>
              <w:right w:type="dxa" w:w="90"/>
            </w:tcMar>
          </w:tcPr>
          <w:p>
            <w:pPr>
              <w:spacing w:after="0" w:line="240"/>
            </w:pPr>
            <w:r>
              <w:rPr>
                <w:rFonts w:ascii="Times New Roman" w:cs="Times New Roman" w:eastAsia="Times New Roman" w:hAnsi="Times New Roman"/>
                <w:sz w:val="18"/>
                <w:szCs w:val="18"/>
              </w:rPr>
              <w:t xml:space="preserve">Implementation planning, live-instance demonstrations, on-site launch session with clinical leadership, and role-based training for clinical, front office and billing staff. Training materials provided for NCMC's train-the-trainer spread in Year 2.</w:t>
            </w:r>
          </w:p>
        </w:tc>
        <w:tc>
          <w:tcPr>
            <w:tcW w:type="dxa" w:w="2000"/>
            <w:shd w:fill="F2F5FB" w:val="clear"/>
            <w:tcMar>
              <w:top w:type="dxa" w:w="70"/>
              <w:left w:type="dxa" w:w="90"/>
              <w:bottom w:type="dxa" w:w="70"/>
              <w:right w:type="dxa" w:w="90"/>
            </w:tcMar>
          </w:tcPr>
          <w:p>
            <w:pPr>
              <w:spacing w:after="0" w:line="240"/>
            </w:pPr>
            <w:r>
              <w:rPr>
                <w:rFonts w:ascii="Times New Roman" w:cs="Times New Roman" w:eastAsia="Times New Roman" w:hAnsi="Times New Roman"/>
                <w:sz w:val="18"/>
                <w:szCs w:val="18"/>
              </w:rPr>
              <w:t xml:space="preserve">Implementation phase and at each site launch</w:t>
            </w:r>
          </w:p>
        </w:tc>
      </w:tr>
      <w:tr>
        <w:tc>
          <w:tcPr>
            <w:tcW w:type="dxa" w:w="2300"/>
            <w:tcMar>
              <w:top w:type="dxa" w:w="70"/>
              <w:left w:type="dxa" w:w="90"/>
              <w:bottom w:type="dxa" w:w="70"/>
              <w:right w:type="dxa" w:w="90"/>
            </w:tcMar>
          </w:tcPr>
          <w:p>
            <w:pPr>
              <w:spacing w:after="0" w:line="240"/>
            </w:pPr>
            <w:r>
              <w:rPr>
                <w:rFonts w:ascii="Times New Roman" w:cs="Times New Roman" w:eastAsia="Times New Roman" w:hAnsi="Times New Roman"/>
                <w:sz w:val="18"/>
                <w:szCs w:val="18"/>
              </w:rPr>
              <w:t xml:space="preserve">Billing and revenue cycle support</w:t>
            </w:r>
          </w:p>
        </w:tc>
        <w:tc>
          <w:tcPr>
            <w:tcW w:type="dxa" w:w="5100"/>
            <w:tcMar>
              <w:top w:type="dxa" w:w="70"/>
              <w:left w:type="dxa" w:w="90"/>
              <w:bottom w:type="dxa" w:w="70"/>
              <w:right w:type="dxa" w:w="90"/>
            </w:tcMar>
          </w:tcPr>
          <w:p>
            <w:pPr>
              <w:spacing w:after="0" w:line="240"/>
            </w:pPr>
            <w:r>
              <w:rPr>
                <w:rFonts w:ascii="Times New Roman" w:cs="Times New Roman" w:eastAsia="Times New Roman" w:hAnsi="Times New Roman"/>
                <w:sz w:val="18"/>
                <w:szCs w:val="18"/>
              </w:rPr>
              <w:t xml:space="preserve">Configuration of automated claim creation, billing and coding training, and participation in monthly reconciliation reviews for the first six months per site, quarterly thereafter.</w:t>
            </w:r>
          </w:p>
        </w:tc>
        <w:tc>
          <w:tcPr>
            <w:tcW w:type="dxa" w:w="2000"/>
            <w:tcMar>
              <w:top w:type="dxa" w:w="70"/>
              <w:left w:type="dxa" w:w="90"/>
              <w:bottom w:type="dxa" w:w="70"/>
              <w:right w:type="dxa" w:w="90"/>
            </w:tcMar>
          </w:tcPr>
          <w:p>
            <w:pPr>
              <w:spacing w:after="0" w:line="240"/>
            </w:pPr>
            <w:r>
              <w:rPr>
                <w:rFonts w:ascii="Times New Roman" w:cs="Times New Roman" w:eastAsia="Times New Roman" w:hAnsi="Times New Roman"/>
                <w:sz w:val="18"/>
                <w:szCs w:val="18"/>
              </w:rPr>
              <w:t xml:space="preserve">Monthly for six months per site, then quarterly</w:t>
            </w:r>
          </w:p>
        </w:tc>
      </w:tr>
      <w:tr>
        <w:tc>
          <w:tcPr>
            <w:tcW w:type="dxa" w:w="2300"/>
            <w:shd w:fill="F2F5FB" w:val="clear"/>
            <w:tcMar>
              <w:top w:type="dxa" w:w="70"/>
              <w:left w:type="dxa" w:w="90"/>
              <w:bottom w:type="dxa" w:w="70"/>
              <w:right w:type="dxa" w:w="90"/>
            </w:tcMar>
          </w:tcPr>
          <w:p>
            <w:pPr>
              <w:spacing w:after="0" w:line="240"/>
            </w:pPr>
            <w:r>
              <w:rPr>
                <w:rFonts w:ascii="Times New Roman" w:cs="Times New Roman" w:eastAsia="Times New Roman" w:hAnsi="Times New Roman"/>
                <w:sz w:val="18"/>
                <w:szCs w:val="18"/>
              </w:rPr>
              <w:t xml:space="preserve">Client success management</w:t>
            </w:r>
          </w:p>
        </w:tc>
        <w:tc>
          <w:tcPr>
            <w:tcW w:type="dxa" w:w="5100"/>
            <w:shd w:fill="F2F5FB" w:val="clear"/>
            <w:tcMar>
              <w:top w:type="dxa" w:w="70"/>
              <w:left w:type="dxa" w:w="90"/>
              <w:bottom w:type="dxa" w:w="70"/>
              <w:right w:type="dxa" w:w="90"/>
            </w:tcMar>
          </w:tcPr>
          <w:p>
            <w:pPr>
              <w:spacing w:after="0" w:line="240"/>
            </w:pPr>
            <w:r>
              <w:rPr>
                <w:rFonts w:ascii="Times New Roman" w:cs="Times New Roman" w:eastAsia="Times New Roman" w:hAnsi="Times New Roman"/>
                <w:sz w:val="18"/>
                <w:szCs w:val="18"/>
              </w:rPr>
              <w:t xml:space="preserve">A named client success advisor, with monthly business reviews in the first year and quarterly reviews thereafter.</w:t>
            </w:r>
          </w:p>
        </w:tc>
        <w:tc>
          <w:tcPr>
            <w:tcW w:type="dxa" w:w="2000"/>
            <w:shd w:fill="F2F5FB" w:val="clear"/>
            <w:tcMar>
              <w:top w:type="dxa" w:w="70"/>
              <w:left w:type="dxa" w:w="90"/>
              <w:bottom w:type="dxa" w:w="70"/>
              <w:right w:type="dxa" w:w="90"/>
            </w:tcMar>
          </w:tcPr>
          <w:p>
            <w:pPr>
              <w:spacing w:after="0" w:line="240"/>
            </w:pPr>
            <w:r>
              <w:rPr>
                <w:rFonts w:ascii="Times New Roman" w:cs="Times New Roman" w:eastAsia="Times New Roman" w:hAnsi="Times New Roman"/>
                <w:sz w:val="18"/>
                <w:szCs w:val="18"/>
              </w:rPr>
              <w:t xml:space="preserve">Continuous</w:t>
            </w:r>
          </w:p>
        </w:tc>
      </w:tr>
    </w:tbl>
    <w:p>
      <w:pPr>
        <w:spacing w:after="120" w:before="240"/>
      </w:pPr>
      <w:r>
        <w:rPr>
          <w:rFonts w:ascii="Times New Roman" w:cs="Times New Roman" w:eastAsia="Times New Roman" w:hAnsi="Times New Roman"/>
          <w:b/>
          <w:bCs/>
          <w:color w:val="1F3864"/>
          <w:sz w:val="23"/>
          <w:szCs w:val="23"/>
        </w:rPr>
        <w:t>Fees</w:t>
      </w:r>
    </w:p>
    <w:p>
      <w:pPr>
        <w:spacing w:after="140" w:line="264"/>
      </w:pPr>
      <w:r>
        <w:rPr>
          <w:rFonts w:ascii="Times New Roman" w:cs="Times New Roman" w:eastAsia="Times New Roman" w:hAnsi="Times New Roman"/>
          <w:sz w:val="21"/>
          <w:szCs w:val="21"/>
        </w:rPr>
        <w:t>The fees below are the fixed components of the CoachCare agreement. They are one-time or flat-rate and do not vary with patient volume, which is why NCMC has identified them as the components it intends to charge to the federal award.</w:t>
      </w:r>
    </w:p>
    <w:tbl>
      <w:tblPr>
        <w:tblW w:type="dxa" w:w="94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5100"/>
        <w:gridCol w:w="2000"/>
      </w:tblGrid>
      <w:tr>
        <w:trPr>
          <w:tblHeader/>
        </w:trPr>
        <w:tc>
          <w:tcPr>
            <w:tcW w:type="dxa" w:w="2300"/>
            <w:shd w:fill="1F3864" w:val="clear"/>
            <w:tcMar>
              <w:top w:type="dxa" w:w="70"/>
              <w:left w:type="dxa" w:w="90"/>
              <w:bottom w:type="dxa" w:w="70"/>
              <w:right w:type="dxa" w:w="90"/>
            </w:tcMar>
          </w:tcPr>
          <w:p>
            <w:pPr>
              <w:spacing w:after="0" w:line="240"/>
            </w:pPr>
            <w:r>
              <w:rPr>
                <w:rFonts w:ascii="Times New Roman" w:cs="Times New Roman" w:eastAsia="Times New Roman" w:hAnsi="Times New Roman"/>
                <w:b/>
                <w:bCs/>
                <w:color w:val="FFFFFF"/>
                <w:sz w:val="18"/>
                <w:szCs w:val="18"/>
              </w:rPr>
              <w:t>Fee component</w:t>
            </w:r>
          </w:p>
        </w:tc>
        <w:tc>
          <w:tcPr>
            <w:tcW w:type="dxa" w:w="5100"/>
            <w:shd w:fill="1F3864" w:val="clear"/>
            <w:tcMar>
              <w:top w:type="dxa" w:w="70"/>
              <w:left w:type="dxa" w:w="90"/>
              <w:bottom w:type="dxa" w:w="70"/>
              <w:right w:type="dxa" w:w="90"/>
            </w:tcMar>
          </w:tcPr>
          <w:p>
            <w:pPr>
              <w:spacing w:after="0" w:line="240"/>
            </w:pPr>
            <w:r>
              <w:rPr>
                <w:rFonts w:ascii="Times New Roman" w:cs="Times New Roman" w:eastAsia="Times New Roman" w:hAnsi="Times New Roman"/>
                <w:b/>
                <w:bCs/>
                <w:color w:val="FFFFFF"/>
                <w:sz w:val="18"/>
                <w:szCs w:val="18"/>
              </w:rPr>
              <w:t>Rate</w:t>
            </w:r>
          </w:p>
        </w:tc>
        <w:tc>
          <w:tcPr>
            <w:tcW w:type="dxa" w:w="2000"/>
            <w:shd w:fill="1F3864" w:val="clear"/>
            <w:tcMar>
              <w:top w:type="dxa" w:w="70"/>
              <w:left w:type="dxa" w:w="90"/>
              <w:bottom w:type="dxa" w:w="70"/>
              <w:right w:type="dxa" w:w="90"/>
            </w:tcMar>
          </w:tcPr>
          <w:p>
            <w:pPr>
              <w:spacing w:after="0" w:line="240"/>
            </w:pPr>
            <w:r>
              <w:rPr>
                <w:rFonts w:ascii="Times New Roman" w:cs="Times New Roman" w:eastAsia="Times New Roman" w:hAnsi="Times New Roman"/>
                <w:b/>
                <w:bCs/>
                <w:color w:val="FFFFFF"/>
                <w:sz w:val="18"/>
                <w:szCs w:val="18"/>
              </w:rPr>
              <w:t>Basis</w:t>
            </w:r>
          </w:p>
        </w:tc>
      </w:tr>
      <w:tr>
        <w:tc>
          <w:tcPr>
            <w:tcW w:type="dxa" w:w="2300"/>
            <w:tcMar>
              <w:top w:type="dxa" w:w="70"/>
              <w:left w:type="dxa" w:w="90"/>
              <w:bottom w:type="dxa" w:w="70"/>
              <w:right w:type="dxa" w:w="90"/>
            </w:tcMar>
          </w:tcPr>
          <w:p>
            <w:pPr>
              <w:spacing w:after="0" w:line="240"/>
            </w:pPr>
            <w:r>
              <w:rPr>
                <w:rFonts w:ascii="Times New Roman" w:cs="Times New Roman" w:eastAsia="Times New Roman" w:hAnsi="Times New Roman"/>
                <w:sz w:val="18"/>
                <w:szCs w:val="18"/>
              </w:rPr>
              <w:t>EHR integration — setup</w:t>
            </w:r>
          </w:p>
        </w:tc>
        <w:tc>
          <w:tcPr>
            <w:tcW w:type="dxa" w:w="5100"/>
            <w:tcMar>
              <w:top w:type="dxa" w:w="70"/>
              <w:left w:type="dxa" w:w="90"/>
              <w:bottom w:type="dxa" w:w="70"/>
              <w:right w:type="dxa" w:w="90"/>
            </w:tcMar>
          </w:tcPr>
          <w:p>
            <w:pPr>
              <w:spacing w:after="0" w:line="240"/>
            </w:pPr>
            <w:r>
              <w:rPr>
                <w:rFonts w:ascii="Times New Roman" w:cs="Times New Roman" w:eastAsia="Times New Roman" w:hAnsi="Times New Roman"/>
                <w:sz w:val="18"/>
                <w:szCs w:val="18"/>
              </w:rPr>
              <w:t>$2,500</w:t>
            </w:r>
          </w:p>
        </w:tc>
        <w:tc>
          <w:tcPr>
            <w:tcW w:type="dxa" w:w="2000"/>
            <w:tcMar>
              <w:top w:type="dxa" w:w="70"/>
              <w:left w:type="dxa" w:w="90"/>
              <w:bottom w:type="dxa" w:w="70"/>
              <w:right w:type="dxa" w:w="90"/>
            </w:tcMar>
          </w:tcPr>
          <w:p>
            <w:pPr>
              <w:spacing w:after="0" w:line="240"/>
            </w:pPr>
            <w:r>
              <w:rPr>
                <w:rFonts w:ascii="Times New Roman" w:cs="Times New Roman" w:eastAsia="Times New Roman" w:hAnsi="Times New Roman"/>
                <w:sz w:val="18"/>
                <w:szCs w:val="18"/>
              </w:rPr>
              <w:t>One-time, charged at contract execution.</w:t>
            </w:r>
          </w:p>
        </w:tc>
      </w:tr>
      <w:tr>
        <w:tc>
          <w:tcPr>
            <w:tcW w:type="dxa" w:w="2300"/>
            <w:shd w:fill="F2F5FB" w:val="clear"/>
            <w:tcMar>
              <w:top w:type="dxa" w:w="70"/>
              <w:left w:type="dxa" w:w="90"/>
              <w:bottom w:type="dxa" w:w="70"/>
              <w:right w:type="dxa" w:w="90"/>
            </w:tcMar>
          </w:tcPr>
          <w:p>
            <w:pPr>
              <w:spacing w:after="0" w:line="240"/>
            </w:pPr>
            <w:r>
              <w:rPr>
                <w:rFonts w:ascii="Times New Roman" w:cs="Times New Roman" w:eastAsia="Times New Roman" w:hAnsi="Times New Roman"/>
                <w:sz w:val="18"/>
                <w:szCs w:val="18"/>
              </w:rPr>
              <w:t>EHR integration — maintenance</w:t>
            </w:r>
          </w:p>
        </w:tc>
        <w:tc>
          <w:tcPr>
            <w:tcW w:type="dxa" w:w="5100"/>
            <w:shd w:fill="F2F5FB" w:val="clear"/>
            <w:tcMar>
              <w:top w:type="dxa" w:w="70"/>
              <w:left w:type="dxa" w:w="90"/>
              <w:bottom w:type="dxa" w:w="70"/>
              <w:right w:type="dxa" w:w="90"/>
            </w:tcMar>
          </w:tcPr>
          <w:p>
            <w:pPr>
              <w:spacing w:after="0" w:line="240"/>
            </w:pPr>
            <w:r>
              <w:rPr>
                <w:rFonts w:ascii="Times New Roman" w:cs="Times New Roman" w:eastAsia="Times New Roman" w:hAnsi="Times New Roman"/>
                <w:sz w:val="18"/>
                <w:szCs w:val="18"/>
              </w:rPr>
              <w:t>$150 per month</w:t>
            </w:r>
          </w:p>
        </w:tc>
        <w:tc>
          <w:tcPr>
            <w:tcW w:type="dxa" w:w="2000"/>
            <w:shd w:fill="F2F5FB" w:val="clear"/>
            <w:tcMar>
              <w:top w:type="dxa" w:w="70"/>
              <w:left w:type="dxa" w:w="90"/>
              <w:bottom w:type="dxa" w:w="70"/>
              <w:right w:type="dxa" w:w="90"/>
            </w:tcMar>
          </w:tcPr>
          <w:p>
            <w:pPr>
              <w:spacing w:after="0" w:line="240"/>
            </w:pPr>
            <w:r>
              <w:rPr>
                <w:rFonts w:ascii="Times New Roman" w:cs="Times New Roman" w:eastAsia="Times New Roman" w:hAnsi="Times New Roman"/>
                <w:sz w:val="18"/>
                <w:szCs w:val="18"/>
              </w:rPr>
              <w:t>Flat monthly fee for each month of the agreement, covering ongoing maintenance of the integration as Veradigm and payer requirements change.</w:t>
            </w:r>
          </w:p>
        </w:tc>
      </w:tr>
      <w:tr>
        <w:tc>
          <w:tcPr>
            <w:tcW w:type="dxa" w:w="2300"/>
            <w:tcMar>
              <w:top w:type="dxa" w:w="70"/>
              <w:left w:type="dxa" w:w="90"/>
              <w:bottom w:type="dxa" w:w="70"/>
              <w:right w:type="dxa" w:w="90"/>
            </w:tcMar>
          </w:tcPr>
          <w:p>
            <w:pPr>
              <w:spacing w:after="0" w:line="240"/>
            </w:pPr>
            <w:r>
              <w:rPr>
                <w:rFonts w:ascii="Times New Roman" w:cs="Times New Roman" w:eastAsia="Times New Roman" w:hAnsi="Times New Roman"/>
                <w:sz w:val="18"/>
                <w:szCs w:val="18"/>
              </w:rPr>
              <w:t>Implementation and training</w:t>
            </w:r>
          </w:p>
        </w:tc>
        <w:tc>
          <w:tcPr>
            <w:tcW w:type="dxa" w:w="5100"/>
            <w:tcMar>
              <w:top w:type="dxa" w:w="70"/>
              <w:left w:type="dxa" w:w="90"/>
              <w:bottom w:type="dxa" w:w="70"/>
              <w:right w:type="dxa" w:w="90"/>
            </w:tcMar>
          </w:tcPr>
          <w:p>
            <w:pPr>
              <w:spacing w:after="0" w:line="240"/>
            </w:pPr>
            <w:r>
              <w:rPr>
                <w:rFonts w:ascii="Times New Roman" w:cs="Times New Roman" w:eastAsia="Times New Roman" w:hAnsi="Times New Roman"/>
                <w:sz w:val="18"/>
                <w:szCs w:val="18"/>
              </w:rPr>
              <w:t>$2,500 per location</w:t>
            </w:r>
          </w:p>
        </w:tc>
        <w:tc>
          <w:tcPr>
            <w:tcW w:type="dxa" w:w="2000"/>
            <w:tcMar>
              <w:top w:type="dxa" w:w="70"/>
              <w:left w:type="dxa" w:w="90"/>
              <w:bottom w:type="dxa" w:w="70"/>
              <w:right w:type="dxa" w:w="90"/>
            </w:tcMar>
          </w:tcPr>
          <w:p>
            <w:pPr>
              <w:spacing w:after="0" w:line="240"/>
            </w:pPr>
            <w:r>
              <w:rPr>
                <w:rFonts w:ascii="Times New Roman" w:cs="Times New Roman" w:eastAsia="Times New Roman" w:hAnsi="Times New Roman"/>
                <w:sz w:val="18"/>
                <w:szCs w:val="18"/>
              </w:rPr>
              <w:t>Charged once per location, in the year that location goes live. Covers implementation planning, launch, and role-based training for clinical, front office and billing staff.</w:t>
            </w:r>
          </w:p>
        </w:tc>
      </w:tr>
    </w:tbl>
    <w:p>
      <w:pPr>
        <w:spacing w:after="140" w:line="264"/>
      </w:pPr>
      <w:r>
        <w:rPr>
          <w:rFonts w:ascii="Times New Roman" w:cs="Times New Roman" w:eastAsia="Times New Roman" w:hAnsi="Times New Roman"/>
          <w:sz w:val="21"/>
          <w:szCs w:val="21"/>
        </w:rPr>
        <w:t>Applied to the project's site schedule — the Vivian pilot in Year 1 and the five expansion Rural Health Clinics in Year 2 — these fixed fees total $6,800 in Year 1, $14,300 in Year 2, and $1,800 in each of Years 3 and 4: $24,700 across the four-year period of performance. These are the amounts carried in the Contractual object class of NCMC's budget.</w:t>
      </w:r>
    </w:p>
    <w:p>
      <w:pPr>
        <w:spacing w:after="140" w:line="264"/>
      </w:pPr>
      <w:r>
        <w:rPr>
          <w:rFonts w:ascii="Times New Roman" w:cs="Times New Roman" w:eastAsia="Times New Roman" w:hAnsi="Times New Roman"/>
          <w:sz w:val="21"/>
          <w:szCs w:val="21"/>
        </w:rPr>
        <w:t>Recurring services — the clinical care team, the connected devices and their logistics, and the platform itself — are billed on a per-active-patient-per-month basis under the definitive services agreement. They are not included in the fixed fees above and are not charged to the federal award; NCMC pays them from the revenue the program generates. Connected devices are furnished under those recurring services and are never purchased by NCMC, so no equipment is acquired under the award.</w:t>
      </w:r>
    </w:p>
    <w:p>
      <w:pPr>
        <w:spacing w:after="140" w:line="264"/>
      </w:pPr>
      <w:r>
        <w:rPr>
          <w:rFonts w:ascii="Times New Roman" w:cs="Times New Roman" w:eastAsia="Times New Roman" w:hAnsi="Times New Roman"/>
          <w:sz w:val="21"/>
          <w:szCs w:val="21"/>
        </w:rPr>
        <w:t>[CONFIRM INTERNALLY: these rates must match the definitive services agreement and the per-active-patient-per-month schedule quoted to NCMC. A rate stated here that differs from the executed contract or from the budget workbook is a finding waiting to happen — HRSA reviewers cross-check the letter of agreement against the budget.]</w:t>
      </w:r>
    </w:p>
    <w:p>
      <w:pPr>
        <w:spacing w:after="120" w:before="240"/>
      </w:pPr>
      <w:r>
        <w:rPr>
          <w:rFonts w:ascii="Times New Roman" w:cs="Times New Roman" w:eastAsia="Times New Roman" w:hAnsi="Times New Roman"/>
          <w:b/>
          <w:bCs/>
          <w:color w:val="1F3864"/>
          <w:sz w:val="23"/>
          <w:szCs w:val="23"/>
        </w:rPr>
        <w:t xml:space="preserve">Resources CoachCare contributes at its own expense</w:t>
      </w:r>
    </w:p>
    <w:p>
      <w:pPr>
        <w:spacing w:after="140" w:line="264"/>
      </w:pPr>
      <w:r>
        <w:rPr>
          <w:rFonts w:ascii="Times New Roman" w:cs="Times New Roman" w:eastAsia="Times New Roman" w:hAnsi="Times New Roman"/>
          <w:sz w:val="21"/>
          <w:szCs w:val="21"/>
        </w:rPr>
        <w:t xml:space="preserve">The following are provided at no cost to NCMC and are not charged to the federal award:</w:t>
      </w:r>
    </w:p>
    <w:p>
      <w:pPr>
        <w:pStyle w:val="ListParagraph"/>
        <w:numPr>
          <w:ilvl w:val="0"/>
          <w:numId w:val="2"/>
        </w:numPr>
        <w:spacing w:after="80" w:line="264"/>
      </w:pPr>
      <w:r>
        <w:rPr>
          <w:rFonts w:ascii="Times New Roman" w:cs="Times New Roman" w:eastAsia="Times New Roman" w:hAnsi="Times New Roman"/>
          <w:sz w:val="21"/>
          <w:szCs w:val="21"/>
        </w:rPr>
        <w:t xml:space="preserve">An on-site patient enrollment specialist at the Vivian clinic through the pilot launch period — a minimum of six months — working alongside clinic staff to conduct enrollment conversations, obtain consent and provide device education at the point of care. This is the reason NCMC's own enrollment specialist position is budgeted at partial FTE in Year 1.</w:t>
      </w:r>
    </w:p>
    <w:p>
      <w:pPr>
        <w:pStyle w:val="ListParagraph"/>
        <w:numPr>
          <w:ilvl w:val="0"/>
          <w:numId w:val="2"/>
        </w:numPr>
        <w:spacing w:after="80" w:line="264"/>
      </w:pPr>
      <w:r>
        <w:rPr>
          <w:rFonts w:ascii="Times New Roman" w:cs="Times New Roman" w:eastAsia="Times New Roman" w:hAnsi="Times New Roman"/>
          <w:sz w:val="21"/>
          <w:szCs w:val="21"/>
        </w:rPr>
        <w:t xml:space="preserve">On-site launch session including CoachCare clinical leadership.</w:t>
      </w:r>
    </w:p>
    <w:p>
      <w:pPr>
        <w:pStyle w:val="ListParagraph"/>
        <w:numPr>
          <w:ilvl w:val="0"/>
          <w:numId w:val="2"/>
        </w:numPr>
        <w:spacing w:after="80" w:line="264"/>
      </w:pPr>
      <w:r>
        <w:rPr>
          <w:rFonts w:ascii="Times New Roman" w:cs="Times New Roman" w:eastAsia="Times New Roman" w:hAnsi="Times New Roman"/>
          <w:sz w:val="21"/>
          <w:szCs w:val="21"/>
        </w:rPr>
        <w:t xml:space="preserve">Care management standard operating procedures documentation for NCMC clinical review.</w:t>
      </w:r>
    </w:p>
    <w:p>
      <w:pPr>
        <w:spacing w:after="140" w:line="264"/>
      </w:pPr>
      <w:r>
        <w:rPr>
          <w:rFonts w:ascii="Times New Roman" w:cs="Times New Roman" w:eastAsia="Times New Roman" w:hAnsi="Times New Roman"/>
          <w:i/>
          <w:iCs/>
          <w:sz w:val="19"/>
          <w:szCs w:val="19"/>
        </w:rPr>
        <w:t xml:space="preserve">[CONFIRM INTERNALLY: the on-site enrollment specialist commitment, its duration, and whether it extends to the expansion sites in Year 2. This is a real cost commitment and should be approved before the letter is signed.]</w:t>
      </w:r>
    </w:p>
    <w:p>
      <w:pPr>
        <w:spacing w:after="120" w:before="240"/>
      </w:pPr>
      <w:r>
        <w:rPr>
          <w:rFonts w:ascii="Times New Roman" w:cs="Times New Roman" w:eastAsia="Times New Roman" w:hAnsi="Times New Roman"/>
          <w:b/>
          <w:bCs/>
          <w:color w:val="1F3864"/>
          <w:sz w:val="23"/>
          <w:szCs w:val="23"/>
        </w:rPr>
        <w:t xml:space="preserve">What CoachCare asks of NCMC</w:t>
      </w:r>
    </w:p>
    <w:p>
      <w:pPr>
        <w:pStyle w:val="ListParagraph"/>
        <w:numPr>
          <w:ilvl w:val="0"/>
          <w:numId w:val="2"/>
        </w:numPr>
        <w:spacing w:after="80" w:line="264"/>
      </w:pPr>
      <w:r>
        <w:rPr>
          <w:rFonts w:ascii="Times New Roman" w:cs="Times New Roman" w:eastAsia="Times New Roman" w:hAnsi="Times New Roman"/>
          <w:sz w:val="21"/>
          <w:szCs w:val="21"/>
        </w:rPr>
        <w:t xml:space="preserve">A designated program champion and clear escalation routing within the clinical workflow.</w:t>
      </w:r>
    </w:p>
    <w:p>
      <w:pPr>
        <w:pStyle w:val="ListParagraph"/>
        <w:numPr>
          <w:ilvl w:val="0"/>
          <w:numId w:val="2"/>
        </w:numPr>
        <w:spacing w:after="80" w:line="264"/>
      </w:pPr>
      <w:r>
        <w:rPr>
          <w:rFonts w:ascii="Times New Roman" w:cs="Times New Roman" w:eastAsia="Times New Roman" w:hAnsi="Times New Roman"/>
          <w:sz w:val="21"/>
          <w:szCs w:val="21"/>
        </w:rPr>
        <w:t xml:space="preserve">Access to run the population reports needed to build and refresh the eligible patient list.</w:t>
      </w:r>
    </w:p>
    <w:p>
      <w:pPr>
        <w:pStyle w:val="ListParagraph"/>
        <w:numPr>
          <w:ilvl w:val="0"/>
          <w:numId w:val="2"/>
        </w:numPr>
        <w:spacing w:after="80" w:line="264"/>
      </w:pPr>
      <w:r>
        <w:rPr>
          <w:rFonts w:ascii="Times New Roman" w:cs="Times New Roman" w:eastAsia="Times New Roman" w:hAnsi="Times New Roman"/>
          <w:sz w:val="21"/>
          <w:szCs w:val="21"/>
        </w:rPr>
        <w:t xml:space="preserve">Billing staff participation in monthly reconciliation during the first six months per site.</w:t>
      </w:r>
    </w:p>
    <w:p>
      <w:pPr>
        <w:pStyle w:val="ListParagraph"/>
        <w:numPr>
          <w:ilvl w:val="0"/>
          <w:numId w:val="2"/>
        </w:numPr>
        <w:spacing w:after="80" w:line="264"/>
      </w:pPr>
      <w:r>
        <w:rPr>
          <w:rFonts w:ascii="Times New Roman" w:cs="Times New Roman" w:eastAsia="Times New Roman" w:hAnsi="Times New Roman"/>
          <w:sz w:val="21"/>
          <w:szCs w:val="21"/>
        </w:rPr>
        <w:t xml:space="preserve">Clinical leadership review and sign-off of escalation protocols.</w:t>
      </w:r>
    </w:p>
    <w:p>
      <w:pPr>
        <w:spacing w:after="120" w:before="240"/>
      </w:pPr>
      <w:r>
        <w:rPr>
          <w:rFonts w:ascii="Times New Roman" w:cs="Times New Roman" w:eastAsia="Times New Roman" w:hAnsi="Times New Roman"/>
          <w:b/>
          <w:bCs/>
          <w:color w:val="1F3864"/>
          <w:sz w:val="23"/>
          <w:szCs w:val="23"/>
        </w:rPr>
        <w:t xml:space="preserve">Term and contingency</w:t>
      </w:r>
    </w:p>
    <w:p>
      <w:pPr>
        <w:spacing w:after="140" w:line="264"/>
      </w:pPr>
      <w:r>
        <w:rPr>
          <w:rFonts w:ascii="Times New Roman" w:cs="Times New Roman" w:eastAsia="Times New Roman" w:hAnsi="Times New Roman"/>
          <w:sz w:val="21"/>
          <w:szCs w:val="21"/>
        </w:rPr>
        <w:t xml:space="preserve">This letter is provided in support of NCMC's HRSA-26-046 application. Commitments described here are contingent on execution of a definitive services agreement between CoachCare and NCMC, and where noted on the project being funded. Nothing in this letter obligates NCMC to proceed if the application is not funded.</w:t>
      </w:r>
    </w:p>
    <w:p>
      <w:pPr>
        <w:spacing w:after="300" w:line="264"/>
      </w:pPr>
      <w:r>
        <w:rPr>
          <w:rFonts w:ascii="Times New Roman" w:cs="Times New Roman" w:eastAsia="Times New Roman" w:hAnsi="Times New Roman"/>
          <w:sz w:val="21"/>
          <w:szCs w:val="21"/>
        </w:rPr>
        <w:t xml:space="preserve">We are glad to support this application and to see this capability reach a community that measurably needs it.</w:t>
      </w:r>
    </w:p>
    <w:p>
      <w:pPr>
        <w:spacing w:after="400" w:line="264"/>
      </w:pPr>
      <w:r>
        <w:rPr>
          <w:rFonts w:ascii="Times New Roman" w:cs="Times New Roman" w:eastAsia="Times New Roman" w:hAnsi="Times New Roman"/>
          <w:sz w:val="21"/>
          <w:szCs w:val="21"/>
        </w:rPr>
        <w:t xml:space="preserve">Sincerely,</w:t>
      </w:r>
    </w:p>
    <w:p>
      <w:pPr>
        <w:spacing w:after="60" w:line="264"/>
      </w:pPr>
      <w:r>
        <w:rPr>
          <w:rFonts w:ascii="Times New Roman" w:cs="Times New Roman" w:eastAsia="Times New Roman" w:hAnsi="Times New Roman"/>
          <w:sz w:val="21"/>
          <w:szCs w:val="21"/>
        </w:rPr>
        <w:t xml:space="preserve">_______________________________</w:t>
      </w:r>
    </w:p>
    <w:p>
      <w:pPr>
        <w:spacing w:after="20" w:line="264"/>
      </w:pPr>
      <w:r>
        <w:rPr>
          <w:rFonts w:ascii="Times New Roman" w:cs="Times New Roman" w:eastAsia="Times New Roman" w:hAnsi="Times New Roman"/>
          <w:sz w:val="21"/>
          <w:szCs w:val="21"/>
        </w:rPr>
        <w:t xml:space="preserve">[NAME], [TITLE]</w:t>
      </w:r>
    </w:p>
    <w:p>
      <w:pPr>
        <w:spacing w:after="20" w:line="264"/>
      </w:pPr>
      <w:r>
        <w:rPr>
          <w:rFonts w:ascii="Times New Roman" w:cs="Times New Roman" w:eastAsia="Times New Roman" w:hAnsi="Times New Roman"/>
          <w:sz w:val="21"/>
          <w:szCs w:val="21"/>
        </w:rPr>
        <w:t xml:space="preserve">CoachCare</w:t>
      </w:r>
    </w:p>
    <w:p>
      <w:pPr>
        <w:spacing w:after="140" w:line="264"/>
      </w:pPr>
      <w:r>
        <w:rPr>
          <w:rFonts w:ascii="Times New Roman" w:cs="Times New Roman" w:eastAsia="Times New Roman" w:hAnsi="Times New Roman"/>
          <w:sz w:val="21"/>
          <w:szCs w:val="21"/>
        </w:rPr>
        <w:t xml:space="preserve">Date: _______________</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CoachCare Letter of Agreement — HRSA-26-046 Attachment 13 (DRAFT)</dc:title>
  <dc:creator>CoachCare</dc:creator>
  <cp:lastModifiedBy>Un-named</cp:lastModifiedBy>
  <cp:revision>1</cp:revision>
  <dcterms:created xsi:type="dcterms:W3CDTF">2026-07-30T23:56:12.277Z</dcterms:created>
  <dcterms:modified xsi:type="dcterms:W3CDTF">2026-07-30T23:56:12.278Z</dcterms:modified>
</cp:coreProperties>
</file>

<file path=docProps/custom.xml><?xml version="1.0" encoding="utf-8"?>
<Properties xmlns="http://schemas.openxmlformats.org/officeDocument/2006/custom-properties" xmlns:vt="http://schemas.openxmlformats.org/officeDocument/2006/docPropsVTypes"/>
</file>